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0BE" w:rsidRDefault="00A22CD3">
      <w:pPr>
        <w:pStyle w:val="Poromisin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_________________________________________________________________</w:t>
      </w:r>
      <w:r>
        <w:rPr>
          <w:rFonts w:ascii="Times" w:eastAsia="Times" w:hAnsi="Times" w:cs="Times"/>
          <w:noProof/>
          <w:sz w:val="29"/>
          <w:szCs w:val="29"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704178</wp:posOffset>
            </wp:positionH>
            <wp:positionV relativeFrom="line">
              <wp:posOffset>317391</wp:posOffset>
            </wp:positionV>
            <wp:extent cx="5207000" cy="11303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13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550BE" w:rsidRDefault="00A22CD3">
      <w:pPr>
        <w:pStyle w:val="Poromisin"/>
        <w:rPr>
          <w:rStyle w:val="Ninguno"/>
          <w:rFonts w:ascii="Times" w:eastAsia="Times" w:hAnsi="Times" w:cs="Times"/>
        </w:rPr>
      </w:pPr>
      <w:r>
        <w:rPr>
          <w:rFonts w:ascii="Verdana" w:hAnsi="Verdana"/>
          <w:b/>
          <w:bCs/>
          <w:color w:val="990000"/>
        </w:rPr>
        <w:t>Octavio L. Henríquez</w:t>
      </w:r>
    </w:p>
    <w:p w:rsidR="00C550BE" w:rsidRDefault="00A22CD3">
      <w:pPr>
        <w:pStyle w:val="Poromisin"/>
        <w:rPr>
          <w:rStyle w:val="Ninguno"/>
          <w:rFonts w:ascii="Times" w:eastAsia="Times" w:hAnsi="Times" w:cs="Times"/>
        </w:rPr>
      </w:pPr>
      <w:r>
        <w:rPr>
          <w:rFonts w:ascii="Verdana" w:hAnsi="Verdana"/>
          <w:b/>
          <w:bCs/>
          <w:color w:val="990000"/>
          <w:lang w:val="de-DE"/>
        </w:rPr>
        <w:t>HENR</w:t>
      </w:r>
      <w:r>
        <w:rPr>
          <w:rFonts w:ascii="Verdana" w:hAnsi="Verdana"/>
          <w:b/>
          <w:bCs/>
          <w:color w:val="990000"/>
        </w:rPr>
        <w:t>Í</w:t>
      </w:r>
      <w:r>
        <w:rPr>
          <w:rFonts w:ascii="Verdana" w:hAnsi="Verdana"/>
          <w:b/>
          <w:bCs/>
          <w:color w:val="990000"/>
          <w:lang w:val="de-DE"/>
        </w:rPr>
        <w:t>QUEZ Y CARNERO ABOGADOS</w:t>
      </w:r>
    </w:p>
    <w:p w:rsidR="00C550BE" w:rsidRDefault="00A22CD3">
      <w:pPr>
        <w:pStyle w:val="Poromisin"/>
        <w:rPr>
          <w:rStyle w:val="Ninguno"/>
          <w:rFonts w:ascii="Times" w:eastAsia="Times" w:hAnsi="Times" w:cs="Times"/>
        </w:rPr>
      </w:pPr>
      <w:proofErr w:type="gramStart"/>
      <w:r>
        <w:rPr>
          <w:rFonts w:ascii="Verdana" w:hAnsi="Verdana"/>
          <w:b/>
          <w:bCs/>
          <w:color w:val="990000"/>
        </w:rPr>
        <w:t>c</w:t>
      </w:r>
      <w:proofErr w:type="gramEnd"/>
      <w:r>
        <w:rPr>
          <w:rFonts w:ascii="Verdana" w:hAnsi="Verdana"/>
          <w:b/>
          <w:bCs/>
          <w:color w:val="990000"/>
        </w:rPr>
        <w:t xml:space="preserve">/ Domingo Rivero, 2 </w:t>
      </w:r>
      <w:r>
        <w:rPr>
          <w:rFonts w:ascii="Verdana" w:hAnsi="Verdana"/>
          <w:b/>
          <w:bCs/>
          <w:color w:val="990000"/>
          <w:lang w:val="de-DE"/>
        </w:rPr>
        <w:t xml:space="preserve">· </w:t>
      </w:r>
      <w:r>
        <w:rPr>
          <w:rFonts w:ascii="Verdana" w:hAnsi="Verdana"/>
          <w:b/>
          <w:bCs/>
          <w:color w:val="990000"/>
        </w:rPr>
        <w:t>1</w:t>
      </w:r>
      <w:r>
        <w:rPr>
          <w:rFonts w:ascii="Verdana" w:hAnsi="Verdana"/>
          <w:b/>
          <w:bCs/>
          <w:color w:val="990000"/>
          <w:lang w:val="de-DE"/>
        </w:rPr>
        <w:t xml:space="preserve">º · </w:t>
      </w:r>
      <w:proofErr w:type="spellStart"/>
      <w:r>
        <w:rPr>
          <w:rFonts w:ascii="Verdana" w:hAnsi="Verdana"/>
          <w:b/>
          <w:bCs/>
          <w:color w:val="990000"/>
        </w:rPr>
        <w:t>Ofic</w:t>
      </w:r>
      <w:proofErr w:type="spellEnd"/>
      <w:r>
        <w:rPr>
          <w:rFonts w:ascii="Verdana" w:hAnsi="Verdana"/>
          <w:b/>
          <w:bCs/>
          <w:color w:val="990000"/>
        </w:rPr>
        <w:t xml:space="preserve"> 1</w:t>
      </w:r>
    </w:p>
    <w:p w:rsidR="00C550BE" w:rsidRDefault="00A22CD3">
      <w:pPr>
        <w:pStyle w:val="Poromisin"/>
        <w:rPr>
          <w:rStyle w:val="Ninguno"/>
          <w:rFonts w:ascii="Times" w:eastAsia="Times" w:hAnsi="Times" w:cs="Times"/>
        </w:rPr>
      </w:pPr>
      <w:r>
        <w:rPr>
          <w:rFonts w:ascii="Verdana" w:hAnsi="Verdana"/>
          <w:b/>
          <w:bCs/>
          <w:color w:val="990000"/>
        </w:rPr>
        <w:t>35004 Las Palmas de Gran Canaria</w:t>
      </w:r>
    </w:p>
    <w:p w:rsidR="00C550BE" w:rsidRDefault="00A22CD3">
      <w:pPr>
        <w:pStyle w:val="Poromisin"/>
        <w:rPr>
          <w:rFonts w:ascii="Verdana" w:eastAsia="Verdana" w:hAnsi="Verdana" w:cs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  <w:lang w:val="de-DE"/>
        </w:rPr>
        <w:t xml:space="preserve">Tel: 928 292 384 / </w:t>
      </w:r>
      <w:r w:rsidR="003F49B5" w:rsidRPr="003F49B5">
        <w:rPr>
          <w:rStyle w:val="Hyperlink0"/>
        </w:rPr>
        <w:fldChar w:fldCharType="begin"/>
      </w:r>
      <w:r>
        <w:rPr>
          <w:rStyle w:val="Hyperlink0"/>
          <w:rFonts w:ascii="Verdana" w:eastAsia="Verdana" w:hAnsi="Verdana" w:cs="Verdana"/>
          <w:b/>
          <w:bCs/>
          <w:color w:val="990000"/>
        </w:rPr>
        <w:instrText xml:space="preserve"> HYPERLINK "x-webdoc://F1EAD72C-3412-4E98-81EB-73FFB6267F56/3479@icalpa.com"</w:instrText>
      </w:r>
      <w:r w:rsidR="003F49B5" w:rsidRPr="003F49B5">
        <w:rPr>
          <w:rStyle w:val="Hyperlink0"/>
        </w:rPr>
        <w:fldChar w:fldCharType="separate"/>
      </w:r>
      <w:r>
        <w:rPr>
          <w:rStyle w:val="Hyperlink0"/>
          <w:rFonts w:ascii="Verdana" w:hAnsi="Verdana"/>
          <w:b/>
          <w:bCs/>
          <w:color w:val="990000"/>
          <w:lang w:val="it-IT"/>
        </w:rPr>
        <w:t>3479@icalpa.com</w:t>
      </w:r>
      <w:r w:rsidR="003F49B5">
        <w:rPr>
          <w:rFonts w:ascii="Verdana" w:eastAsia="Verdana" w:hAnsi="Verdana" w:cs="Verdana"/>
          <w:b/>
          <w:bCs/>
          <w:color w:val="990000"/>
        </w:rPr>
        <w:fldChar w:fldCharType="end"/>
      </w:r>
    </w:p>
    <w:p w:rsidR="00C550BE" w:rsidRDefault="00A22CD3">
      <w:pPr>
        <w:pStyle w:val="Poromisin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_________________________________________________________________</w:t>
      </w: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</w:rPr>
      </w:pP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45"/>
          <w:szCs w:val="45"/>
          <w:u w:val="single"/>
        </w:rPr>
      </w:pPr>
      <w:r>
        <w:rPr>
          <w:rFonts w:ascii="Times New Roman" w:hAnsi="Times New Roman"/>
          <w:b/>
          <w:bCs/>
          <w:sz w:val="45"/>
          <w:szCs w:val="45"/>
          <w:u w:val="single"/>
        </w:rPr>
        <w:t>COMUNICADO DE PRENSA</w:t>
      </w: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</w:rPr>
      </w:pPr>
    </w:p>
    <w:p w:rsidR="00C550BE" w:rsidRDefault="00C550BE">
      <w:pPr>
        <w:pStyle w:val="Poromisin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C550BE" w:rsidRDefault="00A22CD3">
      <w:pPr>
        <w:pStyle w:val="Poromisin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/>
          <w:b/>
          <w:bCs/>
          <w:sz w:val="43"/>
          <w:szCs w:val="43"/>
        </w:rPr>
        <w:t>El TSJC condena al Servicio Canario Salud por una nueva negligencia médica con resultado de muerte</w:t>
      </w: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Nueva sentencia condenatoria contra el Servicio Canario de Salud (SCS) por negligencia médica. Una sentencia firme dictada recientemente por la Sala de lo Contencioso-Administrativo del Tribunal Superior de Justicia de Canarias (TSJC) obliga al organismo sanitario a indemnizar con 50 mil euros a los familiares de una persona que perdió la vida como </w:t>
      </w:r>
      <w:proofErr w:type="spellStart"/>
      <w:r>
        <w:rPr>
          <w:rFonts w:ascii="Times" w:hAnsi="Times"/>
          <w:sz w:val="29"/>
          <w:szCs w:val="29"/>
        </w:rPr>
        <w:t>consencuencia</w:t>
      </w:r>
      <w:proofErr w:type="spellEnd"/>
      <w:r>
        <w:rPr>
          <w:rFonts w:ascii="Times" w:hAnsi="Times"/>
          <w:sz w:val="29"/>
          <w:szCs w:val="29"/>
        </w:rPr>
        <w:t xml:space="preserve"> de una mala praxis médica en el Centro de Salud de El Calero, en el municipio grancanario de Telde. 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En este caso, se considera probado que la víctima mortal, que falleció por una </w:t>
      </w:r>
      <w:proofErr w:type="spellStart"/>
      <w:r>
        <w:rPr>
          <w:rFonts w:ascii="Times" w:hAnsi="Times"/>
          <w:sz w:val="29"/>
          <w:szCs w:val="29"/>
        </w:rPr>
        <w:t>cardioatía</w:t>
      </w:r>
      <w:proofErr w:type="spellEnd"/>
      <w:r>
        <w:rPr>
          <w:rFonts w:ascii="Times" w:hAnsi="Times"/>
          <w:sz w:val="29"/>
          <w:szCs w:val="29"/>
        </w:rPr>
        <w:t xml:space="preserve"> isquémica, fue atendida de forma absolutamente negligente p</w:t>
      </w:r>
      <w:r w:rsidR="006E327F">
        <w:rPr>
          <w:rFonts w:ascii="Times" w:hAnsi="Times"/>
          <w:sz w:val="29"/>
          <w:szCs w:val="29"/>
        </w:rPr>
        <w:t>or el Dr. J.G.N-O</w:t>
      </w:r>
      <w:r>
        <w:rPr>
          <w:rFonts w:ascii="Times" w:hAnsi="Times"/>
          <w:sz w:val="29"/>
          <w:szCs w:val="29"/>
        </w:rPr>
        <w:t>. Pese a haber sido informado a tiempo de que su paciente sufría un fuerte dolor que iba desde el cuello hasta ambos brazos no procedió a realizar ninguna prueba diagnóstica, ni siquiera las pruebas básicas de auscultación ni de toma de tensión.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La demanda presentada por el abogado canario Octavio</w:t>
      </w:r>
      <w:r w:rsidR="0093416F">
        <w:rPr>
          <w:rFonts w:ascii="Times" w:hAnsi="Times"/>
          <w:sz w:val="29"/>
          <w:szCs w:val="29"/>
        </w:rPr>
        <w:t xml:space="preserve"> </w:t>
      </w:r>
      <w:proofErr w:type="spellStart"/>
      <w:r w:rsidR="0093416F">
        <w:rPr>
          <w:rFonts w:ascii="Times" w:hAnsi="Times"/>
          <w:sz w:val="29"/>
          <w:szCs w:val="29"/>
        </w:rPr>
        <w:t>L.</w:t>
      </w:r>
      <w:r>
        <w:rPr>
          <w:rFonts w:ascii="Times" w:hAnsi="Times"/>
          <w:sz w:val="29"/>
          <w:szCs w:val="29"/>
        </w:rPr>
        <w:t>Henríquez</w:t>
      </w:r>
      <w:proofErr w:type="spellEnd"/>
      <w:r>
        <w:rPr>
          <w:rFonts w:ascii="Times" w:hAnsi="Times"/>
          <w:sz w:val="29"/>
          <w:szCs w:val="29"/>
        </w:rPr>
        <w:t>, del despacho Henríquez y Carnero, fue desestimada en primera</w:t>
      </w:r>
      <w:r w:rsidR="0093416F">
        <w:rPr>
          <w:rFonts w:ascii="Times" w:hAnsi="Times"/>
          <w:sz w:val="29"/>
          <w:szCs w:val="29"/>
        </w:rPr>
        <w:t xml:space="preserve"> instancia por el Juzgado de lo</w:t>
      </w:r>
      <w:r>
        <w:rPr>
          <w:rFonts w:ascii="Times" w:hAnsi="Times"/>
          <w:sz w:val="29"/>
          <w:szCs w:val="29"/>
        </w:rPr>
        <w:t xml:space="preserve"> Contencioso-Administrativo Nº 3 de Las Palmas en dos ocasiones. Sin embargo, ahora ha sido el TSJC el que da la razón al letrado que defiende los derechos y los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eastAsia="Times" w:hAnsi="Times" w:cs="Times"/>
          <w:noProof/>
          <w:sz w:val="29"/>
          <w:szCs w:val="29"/>
          <w:lang w:val="es-E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3963906</wp:posOffset>
            </wp:positionH>
            <wp:positionV relativeFrom="page">
              <wp:posOffset>720000</wp:posOffset>
            </wp:positionV>
            <wp:extent cx="2254104" cy="4893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4" cy="489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Times" w:hAnsi="Times"/>
          <w:sz w:val="29"/>
          <w:szCs w:val="29"/>
        </w:rPr>
        <w:t>intereses</w:t>
      </w:r>
      <w:proofErr w:type="gramEnd"/>
      <w:r>
        <w:rPr>
          <w:rFonts w:ascii="Times" w:hAnsi="Times"/>
          <w:sz w:val="29"/>
          <w:szCs w:val="29"/>
        </w:rPr>
        <w:t xml:space="preserve"> de los familiares del paciente fallecido. Este giro en la decisión judicial se produce seis años después de iniciado el procedimiento.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La justicia reconoce ahora la pérdida de oportunidad, de la que fue víctima el paciente, de recibir una terapia acorde a su verdadera dolencia. Esta falta de atención, según la sentencia, provocó un daño indemnizable al entenderse que </w:t>
      </w:r>
      <w:r>
        <w:rPr>
          <w:rFonts w:ascii="Times" w:hAnsi="Times"/>
          <w:sz w:val="29"/>
          <w:szCs w:val="29"/>
          <w:lang w:val="it-IT"/>
        </w:rPr>
        <w:t>con un diagn</w:t>
      </w:r>
      <w:proofErr w:type="spellStart"/>
      <w:r>
        <w:rPr>
          <w:rFonts w:ascii="Times" w:hAnsi="Times"/>
          <w:sz w:val="29"/>
          <w:szCs w:val="29"/>
        </w:rPr>
        <w:t>óstico</w:t>
      </w:r>
      <w:proofErr w:type="spellEnd"/>
      <w:r>
        <w:rPr>
          <w:rFonts w:ascii="Times" w:hAnsi="Times"/>
          <w:sz w:val="29"/>
          <w:szCs w:val="29"/>
        </w:rPr>
        <w:t xml:space="preserve"> y tratamiento adecuados “se hubiese evitado muy probablemente” el fallecimiento del usuario del SCS.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Octav</w:t>
      </w:r>
      <w:r w:rsidR="006E327F">
        <w:rPr>
          <w:rFonts w:ascii="Times" w:hAnsi="Times"/>
          <w:sz w:val="29"/>
          <w:szCs w:val="29"/>
        </w:rPr>
        <w:t>i</w:t>
      </w:r>
      <w:r>
        <w:rPr>
          <w:rFonts w:ascii="Times" w:hAnsi="Times"/>
          <w:sz w:val="29"/>
          <w:szCs w:val="29"/>
        </w:rPr>
        <w:t>o</w:t>
      </w:r>
      <w:r w:rsidR="006E327F">
        <w:rPr>
          <w:rFonts w:ascii="Times" w:hAnsi="Times"/>
          <w:sz w:val="29"/>
          <w:szCs w:val="29"/>
        </w:rPr>
        <w:t xml:space="preserve"> L.</w:t>
      </w:r>
      <w:r>
        <w:rPr>
          <w:rFonts w:ascii="Times" w:hAnsi="Times"/>
          <w:sz w:val="29"/>
          <w:szCs w:val="29"/>
        </w:rPr>
        <w:t xml:space="preserve"> Henríquez </w:t>
      </w:r>
      <w:r>
        <w:rPr>
          <w:rFonts w:ascii="Times" w:hAnsi="Times"/>
          <w:sz w:val="29"/>
          <w:szCs w:val="29"/>
          <w:lang w:val="pt-PT"/>
        </w:rPr>
        <w:t>consider</w:t>
      </w:r>
      <w:r>
        <w:rPr>
          <w:rFonts w:ascii="Times" w:hAnsi="Times"/>
          <w:sz w:val="29"/>
          <w:szCs w:val="29"/>
        </w:rPr>
        <w:t xml:space="preserve">ó desde el primer momento que “ante los síntomas que presentaba el paciente </w:t>
      </w:r>
      <w:r>
        <w:rPr>
          <w:rFonts w:ascii="Times" w:hAnsi="Times"/>
          <w:sz w:val="29"/>
          <w:szCs w:val="29"/>
          <w:lang w:val="it-IT"/>
        </w:rPr>
        <w:t>se le debi</w:t>
      </w:r>
      <w:r>
        <w:rPr>
          <w:rFonts w:ascii="Times" w:hAnsi="Times"/>
          <w:sz w:val="29"/>
          <w:szCs w:val="29"/>
        </w:rPr>
        <w:t>ó efectuar un electrocardiograma,</w:t>
      </w:r>
      <w:r>
        <w:rPr>
          <w:rFonts w:ascii="Times" w:hAnsi="Times"/>
          <w:sz w:val="29"/>
          <w:szCs w:val="29"/>
          <w:lang w:val="en-US"/>
        </w:rPr>
        <w:t xml:space="preserve"> as</w:t>
      </w:r>
      <w:r>
        <w:rPr>
          <w:rFonts w:ascii="Times" w:hAnsi="Times"/>
          <w:sz w:val="29"/>
          <w:szCs w:val="29"/>
        </w:rPr>
        <w:t>í como otras pruebas diagnósticas que hubieran detectado el infarto que ya padecía el paciente cuando acudió al C</w:t>
      </w:r>
      <w:r>
        <w:rPr>
          <w:rFonts w:ascii="Times" w:hAnsi="Times"/>
          <w:sz w:val="29"/>
          <w:szCs w:val="29"/>
          <w:lang w:val="pt-PT"/>
        </w:rPr>
        <w:t xml:space="preserve">entro de </w:t>
      </w:r>
      <w:r>
        <w:rPr>
          <w:rFonts w:ascii="Times" w:hAnsi="Times"/>
          <w:sz w:val="29"/>
          <w:szCs w:val="29"/>
        </w:rPr>
        <w:t>Salud de El Calero, y al haber desatendido el m</w:t>
      </w:r>
      <w:r>
        <w:rPr>
          <w:rFonts w:ascii="Times" w:hAnsi="Times"/>
          <w:sz w:val="29"/>
          <w:szCs w:val="29"/>
          <w:lang w:val="fr-FR"/>
        </w:rPr>
        <w:t>é</w:t>
      </w:r>
      <w:proofErr w:type="spellStart"/>
      <w:r>
        <w:rPr>
          <w:rFonts w:ascii="Times" w:hAnsi="Times"/>
          <w:sz w:val="29"/>
          <w:szCs w:val="29"/>
        </w:rPr>
        <w:t>dico</w:t>
      </w:r>
      <w:proofErr w:type="spellEnd"/>
      <w:r>
        <w:rPr>
          <w:rFonts w:ascii="Times" w:hAnsi="Times"/>
          <w:sz w:val="29"/>
          <w:szCs w:val="29"/>
        </w:rPr>
        <w:t xml:space="preserve"> los protocolos de actuación y no haber leído la historia clínica de su paciente, que  tenía un riesgo cardiovascular moderado</w:t>
      </w:r>
      <w:r>
        <w:rPr>
          <w:rFonts w:ascii="Times" w:hAnsi="Times"/>
          <w:sz w:val="29"/>
          <w:szCs w:val="29"/>
          <w:lang w:val="fr-FR"/>
        </w:rPr>
        <w:t xml:space="preserve">, se le </w:t>
      </w:r>
      <w:proofErr w:type="spellStart"/>
      <w:r>
        <w:rPr>
          <w:rFonts w:ascii="Times" w:hAnsi="Times"/>
          <w:sz w:val="29"/>
          <w:szCs w:val="29"/>
          <w:lang w:val="fr-FR"/>
        </w:rPr>
        <w:t>priv</w:t>
      </w:r>
      <w:proofErr w:type="spellEnd"/>
      <w:r>
        <w:rPr>
          <w:rFonts w:ascii="Times" w:hAnsi="Times"/>
          <w:sz w:val="29"/>
          <w:szCs w:val="29"/>
        </w:rPr>
        <w:t>ó de una asistencia m</w:t>
      </w:r>
      <w:r>
        <w:rPr>
          <w:rFonts w:ascii="Times" w:hAnsi="Times"/>
          <w:sz w:val="29"/>
          <w:szCs w:val="29"/>
          <w:lang w:val="fr-FR"/>
        </w:rPr>
        <w:t>é</w:t>
      </w:r>
      <w:proofErr w:type="spellStart"/>
      <w:r>
        <w:rPr>
          <w:rFonts w:ascii="Times" w:hAnsi="Times"/>
          <w:sz w:val="29"/>
          <w:szCs w:val="29"/>
        </w:rPr>
        <w:t>dica</w:t>
      </w:r>
      <w:proofErr w:type="spellEnd"/>
      <w:r>
        <w:rPr>
          <w:rFonts w:ascii="Times" w:hAnsi="Times"/>
          <w:sz w:val="29"/>
          <w:szCs w:val="29"/>
        </w:rPr>
        <w:t xml:space="preserve"> correcta de forma intolerable”.</w:t>
      </w:r>
    </w:p>
    <w:p w:rsidR="00C550BE" w:rsidRDefault="00C550BE">
      <w:pPr>
        <w:pStyle w:val="Poromisin"/>
        <w:jc w:val="both"/>
        <w:rPr>
          <w:rFonts w:ascii="Times" w:eastAsia="Times" w:hAnsi="Times" w:cs="Times"/>
          <w:b/>
          <w:bCs/>
          <w:sz w:val="29"/>
          <w:szCs w:val="29"/>
          <w:u w:val="single" w:color="000000"/>
        </w:rPr>
      </w:pP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  <w:u w:color="000000"/>
        </w:rPr>
      </w:pPr>
      <w:r>
        <w:rPr>
          <w:rFonts w:ascii="Times" w:hAnsi="Times"/>
          <w:sz w:val="29"/>
          <w:szCs w:val="29"/>
          <w:u w:color="000000"/>
        </w:rPr>
        <w:t xml:space="preserve">Desde el despacho de abogados Henríquez y Carnero se recuerda que el </w:t>
      </w:r>
      <w:r w:rsidR="006E327F">
        <w:rPr>
          <w:rFonts w:ascii="Times" w:hAnsi="Times"/>
          <w:sz w:val="29"/>
          <w:szCs w:val="29"/>
          <w:u w:color="000000"/>
        </w:rPr>
        <w:t>citado médico, el Dr. Jorge G., está actualmente siendo investigado</w:t>
      </w:r>
      <w:r>
        <w:rPr>
          <w:rFonts w:ascii="Times" w:hAnsi="Times"/>
          <w:sz w:val="29"/>
          <w:szCs w:val="29"/>
          <w:u w:color="000000"/>
        </w:rPr>
        <w:t xml:space="preserve"> por otro caso similar a éste ante el Juzgado de </w:t>
      </w:r>
      <w:proofErr w:type="spellStart"/>
      <w:r>
        <w:rPr>
          <w:rFonts w:ascii="Times" w:hAnsi="Times"/>
          <w:sz w:val="29"/>
          <w:szCs w:val="29"/>
          <w:u w:color="000000"/>
        </w:rPr>
        <w:t>Instrucció</w:t>
      </w:r>
      <w:proofErr w:type="spellEnd"/>
      <w:r>
        <w:rPr>
          <w:rFonts w:ascii="Times" w:hAnsi="Times"/>
          <w:sz w:val="29"/>
          <w:szCs w:val="29"/>
          <w:u w:color="000000"/>
          <w:lang w:val="en-US"/>
        </w:rPr>
        <w:t xml:space="preserve">n </w:t>
      </w:r>
      <w:proofErr w:type="spellStart"/>
      <w:r>
        <w:rPr>
          <w:rFonts w:ascii="Times" w:hAnsi="Times"/>
          <w:sz w:val="29"/>
          <w:szCs w:val="29"/>
          <w:u w:color="000000"/>
          <w:lang w:val="en-US"/>
        </w:rPr>
        <w:t>N</w:t>
      </w:r>
      <w:proofErr w:type="spellEnd"/>
      <w:r>
        <w:rPr>
          <w:rFonts w:ascii="Times" w:hAnsi="Times"/>
          <w:sz w:val="29"/>
          <w:szCs w:val="29"/>
          <w:u w:color="000000"/>
        </w:rPr>
        <w:t xml:space="preserve">º </w:t>
      </w:r>
      <w:r>
        <w:rPr>
          <w:rFonts w:ascii="Times" w:hAnsi="Times"/>
          <w:sz w:val="29"/>
          <w:szCs w:val="29"/>
          <w:u w:color="000000"/>
          <w:lang w:val="nl-NL"/>
        </w:rPr>
        <w:t>2 de Telde</w:t>
      </w:r>
      <w:r>
        <w:rPr>
          <w:rFonts w:ascii="Times" w:hAnsi="Times"/>
          <w:sz w:val="29"/>
          <w:szCs w:val="29"/>
          <w:u w:color="000000"/>
        </w:rPr>
        <w:t xml:space="preserve">. Se trata de otro caso con resultado de muerte, tras el fallecimiento de una mujer por infarto agudo de miocardio, paciente que </w:t>
      </w:r>
      <w:proofErr w:type="spellStart"/>
      <w:r>
        <w:rPr>
          <w:rFonts w:ascii="Times" w:hAnsi="Times"/>
          <w:sz w:val="29"/>
          <w:szCs w:val="29"/>
          <w:u w:color="000000"/>
        </w:rPr>
        <w:t>tambi</w:t>
      </w:r>
      <w:proofErr w:type="spellEnd"/>
      <w:r>
        <w:rPr>
          <w:rFonts w:ascii="Times" w:hAnsi="Times"/>
          <w:sz w:val="29"/>
          <w:szCs w:val="29"/>
          <w:u w:color="000000"/>
          <w:lang w:val="fr-FR"/>
        </w:rPr>
        <w:t>é</w:t>
      </w:r>
      <w:r>
        <w:rPr>
          <w:rFonts w:ascii="Times" w:hAnsi="Times"/>
          <w:sz w:val="29"/>
          <w:szCs w:val="29"/>
          <w:u w:color="000000"/>
        </w:rPr>
        <w:t xml:space="preserve">n fue atendida por el citado doctor, el cual presuntamente </w:t>
      </w:r>
      <w:r>
        <w:rPr>
          <w:rFonts w:ascii="Times" w:hAnsi="Times"/>
          <w:sz w:val="29"/>
          <w:szCs w:val="29"/>
          <w:u w:color="000000"/>
          <w:lang w:val="pt-PT"/>
        </w:rPr>
        <w:t>volvi</w:t>
      </w:r>
      <w:r>
        <w:rPr>
          <w:rFonts w:ascii="Times" w:hAnsi="Times"/>
          <w:sz w:val="29"/>
          <w:szCs w:val="29"/>
          <w:u w:color="000000"/>
        </w:rPr>
        <w:t xml:space="preserve">ó a desatender los protocolos de </w:t>
      </w:r>
      <w:proofErr w:type="spellStart"/>
      <w:r>
        <w:rPr>
          <w:rFonts w:ascii="Times" w:hAnsi="Times"/>
          <w:sz w:val="29"/>
          <w:szCs w:val="29"/>
          <w:u w:color="000000"/>
        </w:rPr>
        <w:t>actuació</w:t>
      </w:r>
      <w:proofErr w:type="spellEnd"/>
      <w:r>
        <w:rPr>
          <w:rFonts w:ascii="Times" w:hAnsi="Times"/>
          <w:sz w:val="29"/>
          <w:szCs w:val="29"/>
          <w:u w:color="000000"/>
          <w:lang w:val="pt-PT"/>
        </w:rPr>
        <w:t>n para estos casos.</w:t>
      </w: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  <w:u w:color="000000"/>
        </w:rPr>
      </w:pPr>
      <w:r>
        <w:rPr>
          <w:rFonts w:ascii="Times" w:hAnsi="Times"/>
          <w:sz w:val="29"/>
          <w:szCs w:val="29"/>
          <w:u w:color="000000"/>
        </w:rPr>
        <w:t> </w:t>
      </w:r>
    </w:p>
    <w:p w:rsidR="00C550BE" w:rsidRDefault="00A22CD3">
      <w:pPr>
        <w:pStyle w:val="Poromisin"/>
        <w:jc w:val="both"/>
        <w:rPr>
          <w:rFonts w:ascii="Times" w:eastAsia="Times" w:hAnsi="Times" w:cs="Times"/>
          <w:sz w:val="29"/>
          <w:szCs w:val="29"/>
          <w:u w:color="000000"/>
        </w:rPr>
      </w:pPr>
      <w:r>
        <w:rPr>
          <w:rFonts w:ascii="Times" w:hAnsi="Times"/>
          <w:sz w:val="29"/>
          <w:szCs w:val="29"/>
          <w:u w:color="000000"/>
        </w:rPr>
        <w:t>“</w:t>
      </w:r>
      <w:r>
        <w:rPr>
          <w:rFonts w:ascii="Times" w:hAnsi="Times"/>
          <w:sz w:val="29"/>
          <w:szCs w:val="29"/>
          <w:u w:color="000000"/>
          <w:lang w:val="it-IT"/>
        </w:rPr>
        <w:t>Sorprende c</w:t>
      </w:r>
      <w:proofErr w:type="spellStart"/>
      <w:r>
        <w:rPr>
          <w:rFonts w:ascii="Times" w:hAnsi="Times"/>
          <w:sz w:val="29"/>
          <w:szCs w:val="29"/>
          <w:u w:color="000000"/>
        </w:rPr>
        <w:t>ómo</w:t>
      </w:r>
      <w:proofErr w:type="spellEnd"/>
      <w:r>
        <w:rPr>
          <w:rFonts w:ascii="Times" w:hAnsi="Times"/>
          <w:sz w:val="29"/>
          <w:szCs w:val="29"/>
          <w:u w:color="000000"/>
        </w:rPr>
        <w:t xml:space="preserve"> el SCS todavía mantiene a este facultativo en nómina y no lo ha suspendido de empleo y sueldo, a sabiendas de sus probadas imprudencias profesionales graves”, concluye el letrado Octavio Henríquez. </w:t>
      </w: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  <w:u w:color="000000"/>
        </w:rPr>
      </w:pP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  <w:u w:color="000000"/>
        </w:rPr>
      </w:pP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  <w:u w:color="000000"/>
        </w:rPr>
      </w:pP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  <w:u w:color="000000"/>
        </w:rPr>
      </w:pPr>
    </w:p>
    <w:p w:rsidR="00C550BE" w:rsidRDefault="00C550BE">
      <w:pPr>
        <w:pStyle w:val="Poromisin"/>
        <w:rPr>
          <w:rFonts w:ascii="Times" w:eastAsia="Times" w:hAnsi="Times" w:cs="Times"/>
          <w:sz w:val="29"/>
          <w:szCs w:val="29"/>
          <w:u w:color="000000"/>
        </w:rPr>
      </w:pPr>
    </w:p>
    <w:p w:rsidR="00C550BE" w:rsidRDefault="00A22CD3">
      <w:pPr>
        <w:pStyle w:val="Poromisin"/>
        <w:jc w:val="center"/>
      </w:pPr>
      <w:r>
        <w:rPr>
          <w:rFonts w:ascii="Times" w:hAnsi="Times"/>
          <w:sz w:val="29"/>
          <w:szCs w:val="29"/>
          <w:u w:color="000000"/>
        </w:rPr>
        <w:t>**********************************</w:t>
      </w:r>
    </w:p>
    <w:sectPr w:rsidR="00C550BE" w:rsidSect="00C550B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4F" w:rsidRDefault="00E4204F" w:rsidP="00C550BE">
      <w:r>
        <w:separator/>
      </w:r>
    </w:p>
  </w:endnote>
  <w:endnote w:type="continuationSeparator" w:id="0">
    <w:p w:rsidR="00E4204F" w:rsidRDefault="00E4204F" w:rsidP="00C5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4F" w:rsidRDefault="00E4204F" w:rsidP="00C550BE">
      <w:r>
        <w:separator/>
      </w:r>
    </w:p>
  </w:footnote>
  <w:footnote w:type="continuationSeparator" w:id="0">
    <w:p w:rsidR="00E4204F" w:rsidRDefault="00E4204F" w:rsidP="00C5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BE"/>
    <w:rsid w:val="003F49B5"/>
    <w:rsid w:val="006E327F"/>
    <w:rsid w:val="0093416F"/>
    <w:rsid w:val="00A22CD3"/>
    <w:rsid w:val="00C550BE"/>
    <w:rsid w:val="00E4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0B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50BE"/>
    <w:rPr>
      <w:u w:val="single"/>
    </w:rPr>
  </w:style>
  <w:style w:type="table" w:customStyle="1" w:styleId="TableNormal">
    <w:name w:val="Table Normal"/>
    <w:rsid w:val="00C55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C550BE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C550BE"/>
  </w:style>
  <w:style w:type="character" w:customStyle="1" w:styleId="Hyperlink0">
    <w:name w:val="Hyperlink.0"/>
    <w:basedOn w:val="Ninguno"/>
    <w:rsid w:val="00C550B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5</cp:revision>
  <dcterms:created xsi:type="dcterms:W3CDTF">2020-02-06T11:07:00Z</dcterms:created>
  <dcterms:modified xsi:type="dcterms:W3CDTF">2020-02-07T13:49:00Z</dcterms:modified>
</cp:coreProperties>
</file>